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01D4" w14:textId="54EF88EA" w:rsidR="00BF47D6" w:rsidRDefault="00D32C8C" w:rsidP="00D32C8C">
      <w:pPr>
        <w:pStyle w:val="Kop1"/>
      </w:pPr>
      <w:r>
        <w:t>Gift Exchange Game</w:t>
      </w:r>
    </w:p>
    <w:p w14:paraId="5E899C3C" w14:textId="77777777" w:rsidR="00D32C8C" w:rsidRDefault="00D32C8C" w:rsidP="00D32C8C">
      <w:r>
        <w:t xml:space="preserve">In dit klaslokaalexperiment spelen leerlingen de zogeheten </w:t>
      </w:r>
      <w:r>
        <w:rPr>
          <w:i/>
          <w:iCs/>
        </w:rPr>
        <w:t>gift exchange game</w:t>
      </w:r>
      <w:r>
        <w:t xml:space="preserve">. Dit experiment beschrijft een principaal-agentrelatie, bijvoorbeeld die tussen een werkgever en een werknemer. Het experiment wordt in tien rondes gespeeld waarin een werkgever als principaal een loonbod doet dat de werknemer als agent kan accepteren of verwerpen en bij acceptatie zal beantwoorden met een voor de agent kostbare en voor de principaal waardevolle inspanning. </w:t>
      </w:r>
    </w:p>
    <w:p w14:paraId="1E9CF849" w14:textId="690CE646" w:rsidR="00D32C8C" w:rsidRDefault="00D32C8C" w:rsidP="00D32C8C">
      <w:pPr>
        <w:pStyle w:val="Kop2"/>
        <w:rPr>
          <w:i/>
          <w:iCs/>
        </w:rPr>
      </w:pPr>
      <w:r>
        <w:rPr>
          <w:i/>
          <w:iCs/>
        </w:rPr>
        <w:t>Klasopstelling</w:t>
      </w:r>
    </w:p>
    <w:p w14:paraId="097ABF6A" w14:textId="697941E3" w:rsidR="00D32C8C" w:rsidRPr="00D32C8C" w:rsidRDefault="00D32C8C" w:rsidP="00D32C8C">
      <w:r>
        <w:t xml:space="preserve">In het experiment komen principaal en agent gedurende een ronde tegenover elkaar te zitten. Het is raadzaam om tafels tegenover elkaar te zetten en een aantal van die sets te verbinden zodat er één lange tafel ontstaat met aan de ene kant de agenten en aan de andere kant de principalen. In een klas van 20 à 30 leerlingen wordt de klas gesplitst in twee groepen met idealiter een even aantal leerlingen en krijgt iedere groep een lange tafel. Als het aantal leerlingen oneven is, krijgt één van de tafels een extra leerling die in </w:t>
      </w:r>
      <w:r w:rsidR="0080478E">
        <w:t>de eerste ronde</w:t>
      </w:r>
      <w:r>
        <w:t xml:space="preserve"> ‘reserve’ staat en in </w:t>
      </w:r>
      <w:r w:rsidR="0080478E">
        <w:t>de</w:t>
      </w:r>
      <w:r>
        <w:t xml:space="preserve"> tweede </w:t>
      </w:r>
      <w:r w:rsidR="0080478E">
        <w:t>ronde</w:t>
      </w:r>
      <w:r>
        <w:t xml:space="preserve"> instroomt</w:t>
      </w:r>
      <w:r w:rsidR="00BF0AB9">
        <w:t xml:space="preserve"> zodat een andere speler reserve komt te staan</w:t>
      </w:r>
      <w:r>
        <w:t xml:space="preserve">. </w:t>
      </w:r>
      <w:r w:rsidR="0080478E">
        <w:t>Aan d</w:t>
      </w:r>
      <w:r>
        <w:t>e tafel met een oneven aantal leerlingen spel</w:t>
      </w:r>
      <w:r w:rsidR="0080478E">
        <w:t>en de leerlingen</w:t>
      </w:r>
      <w:r>
        <w:t xml:space="preserve"> het spel elf keer om te garanderen dat iedereen het spel</w:t>
      </w:r>
      <w:r w:rsidR="0080478E">
        <w:t xml:space="preserve"> uiteindelijk</w:t>
      </w:r>
      <w:r>
        <w:t xml:space="preserve"> tien keer heeft gespeeld.</w:t>
      </w:r>
    </w:p>
    <w:p w14:paraId="416A6B9D" w14:textId="2AAF3550" w:rsidR="00D32C8C" w:rsidRDefault="00D32C8C" w:rsidP="00D32C8C">
      <w:pPr>
        <w:pStyle w:val="Kop2"/>
        <w:rPr>
          <w:i/>
          <w:iCs/>
        </w:rPr>
      </w:pPr>
      <w:r>
        <w:rPr>
          <w:i/>
          <w:iCs/>
        </w:rPr>
        <w:t>Benodigdheden</w:t>
      </w:r>
    </w:p>
    <w:p w14:paraId="4FE63AE8" w14:textId="32D2F81B" w:rsidR="00E72FC0" w:rsidRDefault="00D32C8C" w:rsidP="00D32C8C">
      <w:r>
        <w:t>Om het experiment uit te kunnen voeren moet iedere leerling beschikken over (i) een scoreformulier</w:t>
      </w:r>
      <w:r w:rsidR="00E72FC0">
        <w:t xml:space="preserve"> (bijlage 1)</w:t>
      </w:r>
      <w:r w:rsidR="001A1C04">
        <w:t>, (ii) een pen of anderszins en (iii) een rekenmachine. De docent heeft voor de analyse het analyseformulier in Excel nodig</w:t>
      </w:r>
      <w:r w:rsidR="00E72FC0">
        <w:t xml:space="preserve"> (</w:t>
      </w:r>
      <w:hyperlink r:id="rId5" w:history="1">
        <w:r w:rsidR="00E72FC0" w:rsidRPr="006E727E">
          <w:rPr>
            <w:rStyle w:val="Hyperlink"/>
          </w:rPr>
          <w:t>https://www.vecon.nl/pagina/36375/klaslokaalexperimenten</w:t>
        </w:r>
      </w:hyperlink>
      <w:r w:rsidR="00E72FC0">
        <w:t>)</w:t>
      </w:r>
      <w:r w:rsidR="001A1C04">
        <w:t>.</w:t>
      </w:r>
    </w:p>
    <w:p w14:paraId="485E5D0C" w14:textId="294DEC9B" w:rsidR="00E72FC0" w:rsidRDefault="00E72FC0" w:rsidP="00E72FC0">
      <w:pPr>
        <w:pStyle w:val="Kop2"/>
        <w:rPr>
          <w:i/>
          <w:iCs/>
        </w:rPr>
      </w:pPr>
      <w:r>
        <w:rPr>
          <w:i/>
          <w:iCs/>
        </w:rPr>
        <w:t>Instructies</w:t>
      </w:r>
    </w:p>
    <w:p w14:paraId="2FBB1DFE" w14:textId="4D21CC8F" w:rsidR="00E72FC0" w:rsidRDefault="00E72FC0" w:rsidP="00E72FC0">
      <w:r>
        <w:t>In het experiment spelen leerlingen tien rondes met verschillende partners. Iedere ronde verloopt volgens hetzelfde ritme.</w:t>
      </w:r>
    </w:p>
    <w:p w14:paraId="55E8A34F" w14:textId="5CDF92AF" w:rsidR="00E72FC0" w:rsidRPr="00E72FC0" w:rsidRDefault="00E72FC0" w:rsidP="00E72FC0">
      <w:pPr>
        <w:pStyle w:val="Lijstalinea"/>
        <w:numPr>
          <w:ilvl w:val="0"/>
          <w:numId w:val="2"/>
        </w:numPr>
        <w:rPr>
          <w:rStyle w:val="Intensievebenadrukking"/>
          <w:i w:val="0"/>
          <w:iCs w:val="0"/>
          <w:color w:val="auto"/>
        </w:rPr>
      </w:pPr>
      <w:r>
        <w:rPr>
          <w:rStyle w:val="Intensievebenadrukking"/>
        </w:rPr>
        <w:t>Stap 1: Loonbod (w)</w:t>
      </w:r>
    </w:p>
    <w:p w14:paraId="2EAAAF37" w14:textId="109F38F4" w:rsidR="00E72FC0" w:rsidRPr="00E72FC0" w:rsidRDefault="00E72FC0" w:rsidP="00E72FC0">
      <w:pPr>
        <w:pStyle w:val="Lijstalinea"/>
        <w:rPr>
          <w:rStyle w:val="Intensievebenadrukking"/>
          <w:color w:val="auto"/>
        </w:rPr>
      </w:pPr>
      <w:r>
        <w:rPr>
          <w:rStyle w:val="Intensievebenadrukking"/>
          <w:i w:val="0"/>
          <w:iCs w:val="0"/>
          <w:color w:val="auto"/>
        </w:rPr>
        <w:t xml:space="preserve">De bal ligt eerst bij de werkgever (of de principaal): deze brengt een loonbod (w) uit. Het loonbod moet onder de </w:t>
      </w:r>
      <w:r w:rsidR="00BF0AB9">
        <w:rPr>
          <w:rStyle w:val="Intensievebenadrukking"/>
          <w:i w:val="0"/>
          <w:iCs w:val="0"/>
          <w:color w:val="auto"/>
        </w:rPr>
        <w:t xml:space="preserve">betalingsbereidheid van de werkgever (126) en boven de leveringsdrempel van de werknemer (26) liggen en moet een veelvoud zijn van 5. Dus: </w:t>
      </w:r>
      <w:r w:rsidR="00BF0AB9">
        <w:t xml:space="preserve">w = loonbod werkgever </w:t>
      </w:r>
      <w:r w:rsidR="00BF0AB9">
        <w:sym w:font="Wingdings" w:char="F0E0"/>
      </w:r>
      <w:r w:rsidR="00BF0AB9">
        <w:t xml:space="preserve"> 125 </w:t>
      </w:r>
      <w:r w:rsidR="00BF0AB9">
        <w:rPr>
          <w:rFonts w:cstheme="minorHAnsi"/>
        </w:rPr>
        <w:t>≥</w:t>
      </w:r>
      <w:r w:rsidR="00BF0AB9">
        <w:t xml:space="preserve"> w </w:t>
      </w:r>
      <w:r w:rsidR="00BF0AB9">
        <w:rPr>
          <w:rFonts w:cstheme="minorHAnsi"/>
        </w:rPr>
        <w:t>&gt; 25.</w:t>
      </w:r>
      <w:r w:rsidR="00BF0AB9">
        <w:rPr>
          <w:rStyle w:val="Intensievebenadrukking"/>
          <w:i w:val="0"/>
          <w:iCs w:val="0"/>
          <w:color w:val="auto"/>
        </w:rPr>
        <w:t xml:space="preserve"> </w:t>
      </w:r>
      <w:r>
        <w:rPr>
          <w:rStyle w:val="Intensievebenadrukking"/>
          <w:i w:val="0"/>
          <w:iCs w:val="0"/>
          <w:color w:val="auto"/>
        </w:rPr>
        <w:t xml:space="preserve">Dit loonbod is definitief en over dit loonbod kan niet onderhandeld worden. </w:t>
      </w:r>
      <w:r w:rsidRPr="00E72FC0">
        <w:rPr>
          <w:rStyle w:val="Intensievebenadrukking"/>
          <w:i w:val="0"/>
          <w:iCs w:val="0"/>
          <w:color w:val="auto"/>
        </w:rPr>
        <w:t>Het is met andere woorden</w:t>
      </w:r>
      <w:r w:rsidR="0080478E">
        <w:rPr>
          <w:rStyle w:val="Intensievebenadrukking"/>
          <w:i w:val="0"/>
          <w:iCs w:val="0"/>
          <w:color w:val="auto"/>
        </w:rPr>
        <w:t xml:space="preserve"> een</w:t>
      </w:r>
      <w:r w:rsidRPr="00E72FC0">
        <w:rPr>
          <w:rStyle w:val="Intensievebenadrukking"/>
          <w:i w:val="0"/>
          <w:iCs w:val="0"/>
          <w:color w:val="auto"/>
        </w:rPr>
        <w:t xml:space="preserve"> </w:t>
      </w:r>
      <w:r w:rsidRPr="00E72FC0">
        <w:rPr>
          <w:rStyle w:val="Intensievebenadrukking"/>
          <w:i w:val="0"/>
          <w:iCs w:val="0"/>
          <w:color w:val="auto"/>
        </w:rPr>
        <w:softHyphen/>
      </w:r>
      <w:r w:rsidRPr="00E72FC0">
        <w:rPr>
          <w:rStyle w:val="Intensievebenadrukking"/>
          <w:color w:val="auto"/>
        </w:rPr>
        <w:t>take-</w:t>
      </w:r>
      <w:proofErr w:type="spellStart"/>
      <w:r w:rsidRPr="00E72FC0">
        <w:rPr>
          <w:rStyle w:val="Intensievebenadrukking"/>
          <w:color w:val="auto"/>
        </w:rPr>
        <w:t>it</w:t>
      </w:r>
      <w:proofErr w:type="spellEnd"/>
      <w:r w:rsidRPr="00E72FC0">
        <w:rPr>
          <w:rStyle w:val="Intensievebenadrukking"/>
          <w:color w:val="auto"/>
        </w:rPr>
        <w:t>-or-</w:t>
      </w:r>
      <w:proofErr w:type="spellStart"/>
      <w:r w:rsidRPr="00E72FC0">
        <w:rPr>
          <w:rStyle w:val="Intensievebenadrukking"/>
          <w:color w:val="auto"/>
        </w:rPr>
        <w:t>leave</w:t>
      </w:r>
      <w:proofErr w:type="spellEnd"/>
      <w:r w:rsidRPr="00E72FC0">
        <w:rPr>
          <w:rStyle w:val="Intensievebenadrukking"/>
          <w:color w:val="auto"/>
        </w:rPr>
        <w:t>-</w:t>
      </w:r>
      <w:proofErr w:type="spellStart"/>
      <w:r w:rsidRPr="00E72FC0">
        <w:rPr>
          <w:rStyle w:val="Intensievebenadrukking"/>
          <w:color w:val="auto"/>
        </w:rPr>
        <w:t>it</w:t>
      </w:r>
      <w:proofErr w:type="spellEnd"/>
      <w:r w:rsidRPr="00E72FC0">
        <w:rPr>
          <w:rStyle w:val="Intensievebenadrukking"/>
          <w:color w:val="auto"/>
        </w:rPr>
        <w:t xml:space="preserve"> </w:t>
      </w:r>
      <w:r w:rsidRPr="00E72FC0">
        <w:rPr>
          <w:rStyle w:val="Intensievebenadrukking"/>
          <w:i w:val="0"/>
          <w:iCs w:val="0"/>
          <w:color w:val="auto"/>
        </w:rPr>
        <w:t>bod</w:t>
      </w:r>
      <w:r w:rsidRPr="00E72FC0">
        <w:rPr>
          <w:rStyle w:val="Intensievebenadrukking"/>
          <w:color w:val="auto"/>
        </w:rPr>
        <w:t xml:space="preserve">. </w:t>
      </w:r>
    </w:p>
    <w:p w14:paraId="07758C8B" w14:textId="77777777" w:rsidR="00E72FC0" w:rsidRPr="00E72FC0" w:rsidRDefault="00E72FC0" w:rsidP="00E72FC0">
      <w:pPr>
        <w:pStyle w:val="Lijstalinea"/>
        <w:numPr>
          <w:ilvl w:val="0"/>
          <w:numId w:val="2"/>
        </w:numPr>
        <w:rPr>
          <w:rStyle w:val="Intensievebenadrukking"/>
          <w:i w:val="0"/>
          <w:iCs w:val="0"/>
          <w:color w:val="auto"/>
        </w:rPr>
      </w:pPr>
      <w:r>
        <w:rPr>
          <w:rStyle w:val="Intensievebenadrukking"/>
        </w:rPr>
        <w:t>Stap 2: Acceptatie met inspanning (e) of afwijzing</w:t>
      </w:r>
    </w:p>
    <w:p w14:paraId="5990D904" w14:textId="3F49CF22" w:rsidR="00E72FC0" w:rsidRPr="00BF0AB9" w:rsidRDefault="00E72FC0" w:rsidP="00E72FC0">
      <w:pPr>
        <w:pStyle w:val="Lijstalinea"/>
        <w:rPr>
          <w:rStyle w:val="Intensievebenadrukking"/>
          <w:i w:val="0"/>
          <w:iCs w:val="0"/>
          <w:color w:val="auto"/>
        </w:rPr>
      </w:pPr>
      <w:r w:rsidRPr="00BF0AB9">
        <w:rPr>
          <w:rStyle w:val="Intensievebenadrukking"/>
          <w:i w:val="0"/>
          <w:iCs w:val="0"/>
          <w:color w:val="auto"/>
        </w:rPr>
        <w:t>De werknemers (of de agent) heeft vervolgens de keuze tussen het accepteren of het afwijzen van het loonbod. Als de agent het loonbod afwijst</w:t>
      </w:r>
      <w:r w:rsidR="00BF0AB9" w:rsidRPr="00BF0AB9">
        <w:rPr>
          <w:rStyle w:val="Intensievebenadrukking"/>
          <w:i w:val="0"/>
          <w:iCs w:val="0"/>
          <w:color w:val="auto"/>
        </w:rPr>
        <w:t xml:space="preserve"> wordt er niet samengewerkt en hebben beide spelers een surplus van nul. Bij acceptatie moet de werknemer kiezen voor een inspanning (e) die het surplus van de werkgever kan verhogen, maar de werknemer surplus kost (k(e)). Zie bijlage 1 voor het overzicht van baten voor de werkgever (e) en kosten voor de werknemer (k(e)) bij iedere inspanning.</w:t>
      </w:r>
    </w:p>
    <w:p w14:paraId="4E84392F" w14:textId="77777777" w:rsidR="00E72FC0" w:rsidRPr="00BF0AB9" w:rsidRDefault="00E72FC0" w:rsidP="00E72FC0">
      <w:pPr>
        <w:pStyle w:val="Lijstalinea"/>
        <w:numPr>
          <w:ilvl w:val="0"/>
          <w:numId w:val="2"/>
        </w:numPr>
        <w:rPr>
          <w:rStyle w:val="Intensievebenadrukking"/>
          <w:i w:val="0"/>
          <w:iCs w:val="0"/>
          <w:color w:val="auto"/>
        </w:rPr>
      </w:pPr>
      <w:r>
        <w:rPr>
          <w:rStyle w:val="Intensievebenadrukking"/>
        </w:rPr>
        <w:t>Stap 3: Invullen scoreformulier</w:t>
      </w:r>
    </w:p>
    <w:p w14:paraId="37FE54FC" w14:textId="59003115" w:rsidR="00BF0AB9" w:rsidRPr="00BF0AB9" w:rsidRDefault="00BF0AB9" w:rsidP="00BF0AB9">
      <w:pPr>
        <w:pStyle w:val="Lijstalinea"/>
        <w:rPr>
          <w:rStyle w:val="Intensievebenadrukking"/>
          <w:i w:val="0"/>
          <w:iCs w:val="0"/>
          <w:color w:val="auto"/>
        </w:rPr>
      </w:pPr>
      <w:r>
        <w:rPr>
          <w:rStyle w:val="Intensievebenadrukking"/>
          <w:i w:val="0"/>
          <w:iCs w:val="0"/>
          <w:color w:val="auto"/>
        </w:rPr>
        <w:t xml:space="preserve">Op scoreformulier noteren de spelers het loonbod (w) en – bij acceptatie – de inspanning (e) en de daarbij behorende kosten (k(e)). Afhankelijk van de rol die spelers hebben noteren ze het surplus uit die ronde in kolom p (principaal of werkgever) of a (agent of werknemer). Principalen trekken het loon (w) van de betalingsbereidheid af en vermenigvuldigen dat saldo met de inspanning (e): p = (126 – w) * e. Agenten verminderen het loon (w) met de leveringsdrempel en de kosten van de gekozen inspanning (k(e)): a = w – 26 – k(e). Merk op dat wanneer er voldoende digitale middelen beschikbaar zijn het loonbod (w) en de </w:t>
      </w:r>
      <w:r>
        <w:rPr>
          <w:rStyle w:val="Intensievebenadrukking"/>
          <w:i w:val="0"/>
          <w:iCs w:val="0"/>
          <w:color w:val="auto"/>
        </w:rPr>
        <w:lastRenderedPageBreak/>
        <w:t xml:space="preserve">inspanning (e) ook in een met de klas gedeeld analyseformulier (Excel) genoteerd kunnen worden. Dit scheelt tijd en papier, en bovendien maakt het de resultatenanalyse eenvoudiger.   </w:t>
      </w:r>
    </w:p>
    <w:p w14:paraId="636F7106" w14:textId="77777777" w:rsidR="00BF0AB9" w:rsidRPr="00BF0AB9" w:rsidRDefault="00E72FC0" w:rsidP="00E72FC0">
      <w:pPr>
        <w:pStyle w:val="Lijstalinea"/>
        <w:numPr>
          <w:ilvl w:val="0"/>
          <w:numId w:val="2"/>
        </w:numPr>
        <w:rPr>
          <w:rStyle w:val="Intensievebenadrukking"/>
          <w:i w:val="0"/>
          <w:iCs w:val="0"/>
          <w:color w:val="auto"/>
        </w:rPr>
      </w:pPr>
      <w:r>
        <w:rPr>
          <w:rStyle w:val="Intensievebenadrukking"/>
        </w:rPr>
        <w:t>Stap 4: Doordraaien</w:t>
      </w:r>
    </w:p>
    <w:p w14:paraId="080C8235" w14:textId="19CEF8F4" w:rsidR="00BF0AB9" w:rsidRPr="00BF0AB9" w:rsidRDefault="00BF0AB9" w:rsidP="00BF0AB9">
      <w:pPr>
        <w:pStyle w:val="Lijstalinea"/>
        <w:rPr>
          <w:rStyle w:val="Intensievebenadrukking"/>
          <w:i w:val="0"/>
          <w:iCs w:val="0"/>
          <w:color w:val="auto"/>
        </w:rPr>
      </w:pPr>
      <w:r>
        <w:rPr>
          <w:rStyle w:val="Intensievebenadrukking"/>
          <w:i w:val="0"/>
          <w:iCs w:val="0"/>
          <w:color w:val="auto"/>
        </w:rPr>
        <w:t xml:space="preserve">Na een spelronde schuiven de leerlingen met de klok mee een stoel op. </w:t>
      </w:r>
      <w:r w:rsidR="00D25D83">
        <w:rPr>
          <w:rStyle w:val="Intensievebenadrukking"/>
          <w:i w:val="0"/>
          <w:iCs w:val="0"/>
          <w:color w:val="auto"/>
        </w:rPr>
        <w:t xml:space="preserve">Leerlingen die daarbij aan dezelfde kant van de tafel blijven zitten zijn in de volgende ronde wederom principaal of agent, maar doen dan zaken met een andere agent of principaal. Leerlingen die na doorschuiven aan de andere kant van de tafel belanden krijgen in de volgende spelronde een andere rol. </w:t>
      </w:r>
    </w:p>
    <w:p w14:paraId="640C838D" w14:textId="77777777" w:rsidR="00D25D83" w:rsidRPr="00D25D83" w:rsidRDefault="00BF0AB9" w:rsidP="00E72FC0">
      <w:pPr>
        <w:pStyle w:val="Lijstalinea"/>
        <w:numPr>
          <w:ilvl w:val="0"/>
          <w:numId w:val="2"/>
        </w:numPr>
        <w:rPr>
          <w:rStyle w:val="Intensievebenadrukking"/>
          <w:i w:val="0"/>
          <w:iCs w:val="0"/>
          <w:color w:val="auto"/>
        </w:rPr>
      </w:pPr>
      <w:r>
        <w:rPr>
          <w:rStyle w:val="Intensievebenadrukking"/>
        </w:rPr>
        <w:t>Stap 5: Eindscore</w:t>
      </w:r>
    </w:p>
    <w:p w14:paraId="213B0FEA" w14:textId="77777777" w:rsidR="00D25D83" w:rsidRDefault="00D25D83" w:rsidP="00D25D83">
      <w:pPr>
        <w:pStyle w:val="Lijstalinea"/>
      </w:pPr>
      <w:r>
        <w:rPr>
          <w:rStyle w:val="Intensievebenadrukking"/>
          <w:i w:val="0"/>
          <w:iCs w:val="0"/>
          <w:color w:val="auto"/>
        </w:rPr>
        <w:t xml:space="preserve">Aan het einde van het experiment (na tien rondes) berekenen de leerlingen de </w:t>
      </w:r>
      <w:r>
        <w:rPr>
          <w:rStyle w:val="Intensievebenadrukking"/>
          <w:color w:val="auto"/>
        </w:rPr>
        <w:t>gemiddelde</w:t>
      </w:r>
      <w:r>
        <w:t xml:space="preserve"> score die zij in de rol van principaal (werkgever) hebben behaald en de </w:t>
      </w:r>
      <w:r>
        <w:rPr>
          <w:i/>
          <w:iCs/>
        </w:rPr>
        <w:t>gemiddelde</w:t>
      </w:r>
      <w:r>
        <w:t xml:space="preserve"> score die zij in de rol van agent (werknemer) hebben behaald. De som van die gemiddelden is de eindscore. De leerling met de hoogste eindscore wint het experiment en krijgt een (voor de leerling waardevolle) beloning. Denk aan een vrij in te zetten tussenuur, een reep chocola of anderszins. </w:t>
      </w:r>
    </w:p>
    <w:p w14:paraId="5726664D" w14:textId="24E7C015" w:rsidR="00E72FC0" w:rsidRDefault="00D25D83" w:rsidP="00D25D83">
      <w:pPr>
        <w:pStyle w:val="Kop2"/>
        <w:rPr>
          <w:i/>
          <w:iCs/>
        </w:rPr>
      </w:pPr>
      <w:r>
        <w:rPr>
          <w:i/>
          <w:iCs/>
        </w:rPr>
        <w:t>Analysetool</w:t>
      </w:r>
      <w:r w:rsidR="006B4055">
        <w:rPr>
          <w:i/>
          <w:iCs/>
        </w:rPr>
        <w:t>: data-invoer</w:t>
      </w:r>
    </w:p>
    <w:p w14:paraId="4D65DB76" w14:textId="066F1316" w:rsidR="00D25D83" w:rsidRDefault="006B4055" w:rsidP="00D25D83">
      <w:r>
        <w:t>De analysetool in Excel kan gebruikt worden om de resultaten van 16 leerlingen (het maximum per tafel</w:t>
      </w:r>
      <w:r w:rsidR="0080478E">
        <w:t xml:space="preserve"> uitgaande van ten hoogste 32 leerlingen</w:t>
      </w:r>
      <w:r>
        <w:t xml:space="preserve">) te analyseren. Voor iedere leerling (genummerd van 1 t/m 16) moet per ronde de rol (p of a), het loonbod (w) en de inspanning (e) in de kolommen c t/m e genoteerd worden. Alle andere zaken (k(e), p, a, </w:t>
      </w:r>
      <w:proofErr w:type="spellStart"/>
      <w:r>
        <w:t>p+a</w:t>
      </w:r>
      <w:proofErr w:type="spellEnd"/>
      <w:r>
        <w:t xml:space="preserve">) rekent de analysetool automatisch uit.     </w:t>
      </w:r>
    </w:p>
    <w:p w14:paraId="77634B67" w14:textId="26387A1C" w:rsidR="006B4055" w:rsidRDefault="006B4055" w:rsidP="006B4055">
      <w:pPr>
        <w:pStyle w:val="Kop2"/>
        <w:rPr>
          <w:i/>
          <w:iCs/>
        </w:rPr>
      </w:pPr>
      <w:r>
        <w:rPr>
          <w:i/>
          <w:iCs/>
        </w:rPr>
        <w:t>Analysetool: data-analyse</w:t>
      </w:r>
    </w:p>
    <w:p w14:paraId="1D98E8A7" w14:textId="4A090C14" w:rsidR="006B4055" w:rsidRDefault="006B4055" w:rsidP="006B4055">
      <w:r>
        <w:t xml:space="preserve">Met de ruwe data creëert de analysetool twee visualisaties. Allereerst ontstaat er in de kolommen L t/m W en de rijen 7 t/m 24 een overzicht van het aantal keer dat een combinatie van w en e voor is gekomen. Met voorwaardelijke opmaak wordt dan eenvoudig duidelijk gemaakt waar de meest voorkomende keuzecombinaties zitten. Onder deze tabel ontstaat een puntenwolk van de keuzecombinaties met op de horizontale as het loonbod (w) en op de verticale as de inspanning (e). </w:t>
      </w:r>
    </w:p>
    <w:p w14:paraId="0B83AF8E" w14:textId="5B1A7AA7" w:rsidR="006B4055" w:rsidRDefault="006B4055" w:rsidP="006B4055">
      <w:pPr>
        <w:pStyle w:val="Kop2"/>
        <w:rPr>
          <w:i/>
          <w:iCs/>
        </w:rPr>
      </w:pPr>
      <w:r>
        <w:rPr>
          <w:i/>
          <w:iCs/>
        </w:rPr>
        <w:t xml:space="preserve">Debriefing </w:t>
      </w:r>
    </w:p>
    <w:p w14:paraId="33F554C2" w14:textId="5910B17C" w:rsidR="006B4055" w:rsidRPr="006B4055" w:rsidRDefault="006B4055" w:rsidP="006B4055">
      <w:r>
        <w:t xml:space="preserve">De visualisaties uit de analysetool kunnen ingezet worden tijdens de </w:t>
      </w:r>
      <w:r w:rsidRPr="006B4055">
        <w:rPr>
          <w:i/>
          <w:iCs/>
        </w:rPr>
        <w:t>debriefing</w:t>
      </w:r>
      <w:r>
        <w:t xml:space="preserve">. De gift exchange game kan gebruikt worden om te analyseren in hoeverre de ik-gerichte motieven van de homo economicus zichtbaar worden in een experiment. Omdat de werkgever alleen bij acceptatie van de werknemer surplus kan genereren ligt het in de lijn der verwachting dat de ik-gerichte homo economicus </w:t>
      </w:r>
      <w:r>
        <w:rPr>
          <w:i/>
          <w:iCs/>
        </w:rPr>
        <w:t>meer</w:t>
      </w:r>
      <w:r>
        <w:t xml:space="preserve"> dan het minimale loonbod van w = 30 zal bieden. Een loonbod boven de 30 is dus nog niet direct een signaal van sociale, wij-gerichte motieven bij de principaal</w:t>
      </w:r>
      <w:r w:rsidR="001E628F">
        <w:t>: ook een principaal die louter om de eigen belangen geeft zal een ‘fatsoenlijk’ loon bieden</w:t>
      </w:r>
      <w:r>
        <w:t>.</w:t>
      </w:r>
      <w:r w:rsidR="001E628F">
        <w:t xml:space="preserve"> De interessantere vraag is hoe de werknemer reageert op een loonbod. Een ik-gerichte homo economicus zal ieder loonbod hoger dan 30 accepteren en beantwoorden met de minimale inspanning (e = 0,1), omdat daarbij het surplus (a) wordt gemaximaliseerd. Uit de analyse volgt echter (meestal) dat amper voor de minimale inspanning wordt gekozen en de agenten hun gunstige onderhandelingspositie amper uitbuiten om het eigen surplus te maximaliseren. De meerderheid van de keuzecombinaties zal (meestal) een combinatie van een ‘fatsoenlijk’ loonbod én een ‘fatsoenlijke’ inspanning laten zien. De les is dan dat werkgevers die goed betalen en deel van die gift geretourneerd krijgen in de vorm van een behoorlijke inspanning van de werknemer, zelfs als de werknemer daar niet direct iets bij te winnen heeft (zoals in het experiment). Het gedrag van werknemers wordt rationeel of invoelbaar als we stellen dat werknemers houden van wederkerigheid: ze werken hard voor werkgevers waar ze zich goed door behandeld voelen en lopen er de kantjes vanaf als werkgevers hen slecht behandelen.   </w:t>
      </w:r>
      <w:r>
        <w:t xml:space="preserve">    </w:t>
      </w:r>
    </w:p>
    <w:p w14:paraId="08FAD340" w14:textId="77777777" w:rsidR="00E72FC0" w:rsidRDefault="00E72FC0" w:rsidP="00E72FC0">
      <w:pPr>
        <w:pStyle w:val="Kop1"/>
      </w:pPr>
      <w:r>
        <w:br w:type="page"/>
      </w:r>
      <w:r>
        <w:lastRenderedPageBreak/>
        <w:t>Bijlage 1: Scoreformulier</w:t>
      </w:r>
    </w:p>
    <w:p w14:paraId="4ADC57BD" w14:textId="77777777" w:rsidR="00E72FC0" w:rsidRDefault="00E72FC0" w:rsidP="00E72FC0">
      <w:r w:rsidRPr="00D72F14">
        <w:rPr>
          <w:u w:val="single"/>
        </w:rPr>
        <w:t>Werkgever</w:t>
      </w:r>
      <w:r>
        <w:t>:</w:t>
      </w:r>
    </w:p>
    <w:p w14:paraId="021EDB36" w14:textId="50EC0A58" w:rsidR="00E72FC0" w:rsidRDefault="00E72FC0" w:rsidP="00E72FC0">
      <w:r>
        <w:t>Surplus (p)</w:t>
      </w:r>
    </w:p>
    <w:p w14:paraId="74CC4928" w14:textId="67E7756B" w:rsidR="00E72FC0" w:rsidRPr="00D72F14" w:rsidRDefault="00E72FC0" w:rsidP="00E72FC0">
      <w:pPr>
        <w:pStyle w:val="Lijstalinea"/>
        <w:numPr>
          <w:ilvl w:val="0"/>
          <w:numId w:val="1"/>
        </w:numPr>
      </w:pPr>
      <w:r>
        <w:rPr>
          <w:rFonts w:cstheme="minorHAnsi"/>
        </w:rPr>
        <w:t xml:space="preserve">Wanneer werknemer loonbod accepteert: p = (126 – w) * e </w:t>
      </w:r>
    </w:p>
    <w:p w14:paraId="5C1F799F" w14:textId="77777777" w:rsidR="00E72FC0" w:rsidRPr="00D72F14" w:rsidRDefault="00E72FC0" w:rsidP="00E72FC0">
      <w:pPr>
        <w:pStyle w:val="Lijstalinea"/>
        <w:numPr>
          <w:ilvl w:val="0"/>
          <w:numId w:val="1"/>
        </w:numPr>
      </w:pPr>
      <w:r>
        <w:rPr>
          <w:rFonts w:cstheme="minorHAnsi"/>
        </w:rPr>
        <w:t xml:space="preserve">Wanneer werknemer loonbod </w:t>
      </w:r>
      <w:r>
        <w:rPr>
          <w:rFonts w:cstheme="minorHAnsi"/>
        </w:rPr>
        <w:softHyphen/>
      </w:r>
      <w:r>
        <w:rPr>
          <w:rFonts w:cstheme="minorHAnsi"/>
          <w:u w:val="single"/>
        </w:rPr>
        <w:t>niet</w:t>
      </w:r>
      <w:r>
        <w:rPr>
          <w:rFonts w:cstheme="minorHAnsi"/>
        </w:rPr>
        <w:t xml:space="preserve"> accepteert: 0 </w:t>
      </w:r>
    </w:p>
    <w:p w14:paraId="3E899D82" w14:textId="77777777" w:rsidR="00E72FC0" w:rsidRDefault="00E72FC0" w:rsidP="00E72FC0">
      <w:r w:rsidRPr="00D72F14">
        <w:rPr>
          <w:u w:val="single"/>
        </w:rPr>
        <w:t>Werknemer</w:t>
      </w:r>
      <w:r>
        <w:t>:</w:t>
      </w:r>
    </w:p>
    <w:p w14:paraId="406C4869" w14:textId="6AB4276A" w:rsidR="00E72FC0" w:rsidRDefault="00E72FC0" w:rsidP="00E72FC0">
      <w:r>
        <w:t>Surplus (a)</w:t>
      </w:r>
    </w:p>
    <w:p w14:paraId="1522C93A" w14:textId="2482C5DE" w:rsidR="00E72FC0" w:rsidRPr="00D72F14" w:rsidRDefault="00E72FC0" w:rsidP="00E72FC0">
      <w:pPr>
        <w:pStyle w:val="Lijstalinea"/>
        <w:numPr>
          <w:ilvl w:val="0"/>
          <w:numId w:val="1"/>
        </w:numPr>
      </w:pPr>
      <w:r>
        <w:t xml:space="preserve">Wanneer werknemer loonbod accepteert: </w:t>
      </w:r>
      <w:r>
        <w:rPr>
          <w:rFonts w:cstheme="minorHAnsi"/>
        </w:rPr>
        <w:t>a</w:t>
      </w:r>
      <w:r>
        <w:t xml:space="preserve"> = w – 26 – k(</w:t>
      </w:r>
      <w:r>
        <w:rPr>
          <w:rFonts w:cstheme="minorHAnsi"/>
        </w:rPr>
        <w:t>e)</w:t>
      </w:r>
    </w:p>
    <w:p w14:paraId="728E6AD1" w14:textId="77777777" w:rsidR="00E72FC0" w:rsidRPr="00D72F14" w:rsidRDefault="00E72FC0" w:rsidP="00E72FC0">
      <w:pPr>
        <w:pStyle w:val="Lijstalinea"/>
        <w:numPr>
          <w:ilvl w:val="0"/>
          <w:numId w:val="1"/>
        </w:numPr>
      </w:pPr>
      <w:r>
        <w:rPr>
          <w:rFonts w:cstheme="minorHAnsi"/>
        </w:rPr>
        <w:t xml:space="preserve">Wanneer werknemer loonbod </w:t>
      </w:r>
      <w:r w:rsidRPr="00D72F14">
        <w:rPr>
          <w:rFonts w:cstheme="minorHAnsi"/>
          <w:u w:val="single"/>
        </w:rPr>
        <w:t>niet</w:t>
      </w:r>
      <w:r>
        <w:rPr>
          <w:rFonts w:cstheme="minorHAnsi"/>
        </w:rPr>
        <w:t xml:space="preserve"> accepteert: 0</w:t>
      </w:r>
    </w:p>
    <w:p w14:paraId="5CA4CF55" w14:textId="77777777" w:rsidR="00E72FC0" w:rsidRDefault="00E72FC0" w:rsidP="00E72FC0">
      <w:r w:rsidRPr="00D72F14">
        <w:rPr>
          <w:u w:val="single"/>
        </w:rPr>
        <w:t>Scoreformulier</w:t>
      </w:r>
      <w:r>
        <w:t>:</w:t>
      </w:r>
    </w:p>
    <w:tbl>
      <w:tblPr>
        <w:tblStyle w:val="Tabelraster"/>
        <w:tblW w:w="0" w:type="auto"/>
        <w:tblLook w:val="04A0" w:firstRow="1" w:lastRow="0" w:firstColumn="1" w:lastColumn="0" w:noHBand="0" w:noVBand="1"/>
      </w:tblPr>
      <w:tblGrid>
        <w:gridCol w:w="1443"/>
        <w:gridCol w:w="1289"/>
        <w:gridCol w:w="1268"/>
        <w:gridCol w:w="1254"/>
        <w:gridCol w:w="1276"/>
        <w:gridCol w:w="1276"/>
      </w:tblGrid>
      <w:tr w:rsidR="00BF0AB9" w14:paraId="36FF3F0B" w14:textId="77777777" w:rsidTr="00C91C57">
        <w:tc>
          <w:tcPr>
            <w:tcW w:w="1443" w:type="dxa"/>
          </w:tcPr>
          <w:p w14:paraId="39B2D003" w14:textId="77777777" w:rsidR="00BF0AB9" w:rsidRDefault="00BF0AB9" w:rsidP="00C91C57">
            <w:r>
              <w:t xml:space="preserve">Ronde </w:t>
            </w:r>
          </w:p>
        </w:tc>
        <w:tc>
          <w:tcPr>
            <w:tcW w:w="1289" w:type="dxa"/>
          </w:tcPr>
          <w:p w14:paraId="1BE2DEA8" w14:textId="77777777" w:rsidR="00BF0AB9" w:rsidRDefault="00BF0AB9" w:rsidP="00C91C57">
            <w:r>
              <w:t>w</w:t>
            </w:r>
          </w:p>
        </w:tc>
        <w:tc>
          <w:tcPr>
            <w:tcW w:w="1268" w:type="dxa"/>
          </w:tcPr>
          <w:p w14:paraId="69848528" w14:textId="0125061C" w:rsidR="00BF0AB9" w:rsidRDefault="00BF0AB9" w:rsidP="00C91C57">
            <w:r>
              <w:t>e</w:t>
            </w:r>
          </w:p>
        </w:tc>
        <w:tc>
          <w:tcPr>
            <w:tcW w:w="1254" w:type="dxa"/>
          </w:tcPr>
          <w:p w14:paraId="1BF53D3B" w14:textId="61856F60" w:rsidR="00BF0AB9" w:rsidRDefault="00BF0AB9" w:rsidP="00C91C57">
            <w:pPr>
              <w:rPr>
                <w:rFonts w:cstheme="minorHAnsi"/>
              </w:rPr>
            </w:pPr>
            <w:r>
              <w:t>k(</w:t>
            </w:r>
            <w:r>
              <w:rPr>
                <w:rFonts w:cstheme="minorHAnsi"/>
              </w:rPr>
              <w:t>e)</w:t>
            </w:r>
          </w:p>
        </w:tc>
        <w:tc>
          <w:tcPr>
            <w:tcW w:w="1276" w:type="dxa"/>
          </w:tcPr>
          <w:p w14:paraId="2A3AB0EA" w14:textId="7DF7D269" w:rsidR="00BF0AB9" w:rsidRDefault="00BF0AB9" w:rsidP="00C91C57">
            <w:r>
              <w:t>p</w:t>
            </w:r>
          </w:p>
        </w:tc>
        <w:tc>
          <w:tcPr>
            <w:tcW w:w="1276" w:type="dxa"/>
          </w:tcPr>
          <w:p w14:paraId="28A1C87E" w14:textId="4446F3B2" w:rsidR="00BF0AB9" w:rsidRDefault="00BF0AB9" w:rsidP="00C91C57">
            <w:r>
              <w:rPr>
                <w:rFonts w:cstheme="minorHAnsi"/>
              </w:rPr>
              <w:t>a</w:t>
            </w:r>
          </w:p>
        </w:tc>
      </w:tr>
      <w:tr w:rsidR="00BF0AB9" w14:paraId="3488CA0A" w14:textId="77777777" w:rsidTr="00C91C57">
        <w:tc>
          <w:tcPr>
            <w:tcW w:w="1443" w:type="dxa"/>
          </w:tcPr>
          <w:p w14:paraId="79224828" w14:textId="77777777" w:rsidR="00BF0AB9" w:rsidRDefault="00BF0AB9" w:rsidP="00C91C57">
            <w:r>
              <w:t>1</w:t>
            </w:r>
          </w:p>
        </w:tc>
        <w:tc>
          <w:tcPr>
            <w:tcW w:w="1289" w:type="dxa"/>
          </w:tcPr>
          <w:p w14:paraId="33372B75" w14:textId="77777777" w:rsidR="00BF0AB9" w:rsidRDefault="00BF0AB9" w:rsidP="00C91C57"/>
        </w:tc>
        <w:tc>
          <w:tcPr>
            <w:tcW w:w="1268" w:type="dxa"/>
          </w:tcPr>
          <w:p w14:paraId="668AE3F8" w14:textId="77777777" w:rsidR="00BF0AB9" w:rsidRDefault="00BF0AB9" w:rsidP="00C91C57"/>
        </w:tc>
        <w:tc>
          <w:tcPr>
            <w:tcW w:w="1254" w:type="dxa"/>
          </w:tcPr>
          <w:p w14:paraId="79589155" w14:textId="77777777" w:rsidR="00BF0AB9" w:rsidRDefault="00BF0AB9" w:rsidP="00C91C57"/>
        </w:tc>
        <w:tc>
          <w:tcPr>
            <w:tcW w:w="1276" w:type="dxa"/>
          </w:tcPr>
          <w:p w14:paraId="55CC6DD4" w14:textId="77777777" w:rsidR="00BF0AB9" w:rsidRDefault="00BF0AB9" w:rsidP="00C91C57"/>
        </w:tc>
        <w:tc>
          <w:tcPr>
            <w:tcW w:w="1276" w:type="dxa"/>
          </w:tcPr>
          <w:p w14:paraId="1E9E32E9" w14:textId="77777777" w:rsidR="00BF0AB9" w:rsidRDefault="00BF0AB9" w:rsidP="00C91C57"/>
        </w:tc>
      </w:tr>
      <w:tr w:rsidR="00BF0AB9" w14:paraId="7EBE6529" w14:textId="77777777" w:rsidTr="00C91C57">
        <w:tc>
          <w:tcPr>
            <w:tcW w:w="1443" w:type="dxa"/>
          </w:tcPr>
          <w:p w14:paraId="7EBBBD7E" w14:textId="77777777" w:rsidR="00BF0AB9" w:rsidRDefault="00BF0AB9" w:rsidP="00C91C57">
            <w:r>
              <w:t>2</w:t>
            </w:r>
          </w:p>
        </w:tc>
        <w:tc>
          <w:tcPr>
            <w:tcW w:w="1289" w:type="dxa"/>
          </w:tcPr>
          <w:p w14:paraId="03617F24" w14:textId="77777777" w:rsidR="00BF0AB9" w:rsidRDefault="00BF0AB9" w:rsidP="00C91C57"/>
        </w:tc>
        <w:tc>
          <w:tcPr>
            <w:tcW w:w="1268" w:type="dxa"/>
          </w:tcPr>
          <w:p w14:paraId="4E573F00" w14:textId="77777777" w:rsidR="00BF0AB9" w:rsidRDefault="00BF0AB9" w:rsidP="00C91C57"/>
        </w:tc>
        <w:tc>
          <w:tcPr>
            <w:tcW w:w="1254" w:type="dxa"/>
          </w:tcPr>
          <w:p w14:paraId="0418C250" w14:textId="77777777" w:rsidR="00BF0AB9" w:rsidRDefault="00BF0AB9" w:rsidP="00C91C57"/>
        </w:tc>
        <w:tc>
          <w:tcPr>
            <w:tcW w:w="1276" w:type="dxa"/>
          </w:tcPr>
          <w:p w14:paraId="44E32C56" w14:textId="77777777" w:rsidR="00BF0AB9" w:rsidRDefault="00BF0AB9" w:rsidP="00C91C57"/>
        </w:tc>
        <w:tc>
          <w:tcPr>
            <w:tcW w:w="1276" w:type="dxa"/>
          </w:tcPr>
          <w:p w14:paraId="5A28BEB3" w14:textId="77777777" w:rsidR="00BF0AB9" w:rsidRDefault="00BF0AB9" w:rsidP="00C91C57"/>
        </w:tc>
      </w:tr>
      <w:tr w:rsidR="00BF0AB9" w14:paraId="5D9DF710" w14:textId="77777777" w:rsidTr="00C91C57">
        <w:tc>
          <w:tcPr>
            <w:tcW w:w="1443" w:type="dxa"/>
          </w:tcPr>
          <w:p w14:paraId="693BC037" w14:textId="77777777" w:rsidR="00BF0AB9" w:rsidRDefault="00BF0AB9" w:rsidP="00C91C57">
            <w:r>
              <w:t>3</w:t>
            </w:r>
          </w:p>
        </w:tc>
        <w:tc>
          <w:tcPr>
            <w:tcW w:w="1289" w:type="dxa"/>
          </w:tcPr>
          <w:p w14:paraId="3449F498" w14:textId="77777777" w:rsidR="00BF0AB9" w:rsidRDefault="00BF0AB9" w:rsidP="00C91C57"/>
        </w:tc>
        <w:tc>
          <w:tcPr>
            <w:tcW w:w="1268" w:type="dxa"/>
          </w:tcPr>
          <w:p w14:paraId="1439334E" w14:textId="77777777" w:rsidR="00BF0AB9" w:rsidRDefault="00BF0AB9" w:rsidP="00C91C57"/>
        </w:tc>
        <w:tc>
          <w:tcPr>
            <w:tcW w:w="1254" w:type="dxa"/>
          </w:tcPr>
          <w:p w14:paraId="7171E0C5" w14:textId="77777777" w:rsidR="00BF0AB9" w:rsidRDefault="00BF0AB9" w:rsidP="00C91C57"/>
        </w:tc>
        <w:tc>
          <w:tcPr>
            <w:tcW w:w="1276" w:type="dxa"/>
          </w:tcPr>
          <w:p w14:paraId="38C8D091" w14:textId="77777777" w:rsidR="00BF0AB9" w:rsidRDefault="00BF0AB9" w:rsidP="00C91C57"/>
        </w:tc>
        <w:tc>
          <w:tcPr>
            <w:tcW w:w="1276" w:type="dxa"/>
          </w:tcPr>
          <w:p w14:paraId="0AF60CD7" w14:textId="77777777" w:rsidR="00BF0AB9" w:rsidRDefault="00BF0AB9" w:rsidP="00C91C57"/>
        </w:tc>
      </w:tr>
      <w:tr w:rsidR="00BF0AB9" w14:paraId="274292E9" w14:textId="77777777" w:rsidTr="00C91C57">
        <w:tc>
          <w:tcPr>
            <w:tcW w:w="1443" w:type="dxa"/>
          </w:tcPr>
          <w:p w14:paraId="101C121B" w14:textId="77777777" w:rsidR="00BF0AB9" w:rsidRDefault="00BF0AB9" w:rsidP="00C91C57">
            <w:r>
              <w:t>4</w:t>
            </w:r>
          </w:p>
        </w:tc>
        <w:tc>
          <w:tcPr>
            <w:tcW w:w="1289" w:type="dxa"/>
          </w:tcPr>
          <w:p w14:paraId="1FEF61DD" w14:textId="77777777" w:rsidR="00BF0AB9" w:rsidRDefault="00BF0AB9" w:rsidP="00C91C57"/>
        </w:tc>
        <w:tc>
          <w:tcPr>
            <w:tcW w:w="1268" w:type="dxa"/>
          </w:tcPr>
          <w:p w14:paraId="3D8A1CC6" w14:textId="77777777" w:rsidR="00BF0AB9" w:rsidRDefault="00BF0AB9" w:rsidP="00C91C57"/>
        </w:tc>
        <w:tc>
          <w:tcPr>
            <w:tcW w:w="1254" w:type="dxa"/>
          </w:tcPr>
          <w:p w14:paraId="767EA853" w14:textId="77777777" w:rsidR="00BF0AB9" w:rsidRDefault="00BF0AB9" w:rsidP="00C91C57"/>
        </w:tc>
        <w:tc>
          <w:tcPr>
            <w:tcW w:w="1276" w:type="dxa"/>
          </w:tcPr>
          <w:p w14:paraId="740C7488" w14:textId="77777777" w:rsidR="00BF0AB9" w:rsidRDefault="00BF0AB9" w:rsidP="00C91C57"/>
        </w:tc>
        <w:tc>
          <w:tcPr>
            <w:tcW w:w="1276" w:type="dxa"/>
          </w:tcPr>
          <w:p w14:paraId="1CDF7354" w14:textId="77777777" w:rsidR="00BF0AB9" w:rsidRDefault="00BF0AB9" w:rsidP="00C91C57"/>
        </w:tc>
      </w:tr>
      <w:tr w:rsidR="00BF0AB9" w14:paraId="0652DA0B" w14:textId="77777777" w:rsidTr="00C91C57">
        <w:tc>
          <w:tcPr>
            <w:tcW w:w="1443" w:type="dxa"/>
          </w:tcPr>
          <w:p w14:paraId="400AB010" w14:textId="77777777" w:rsidR="00BF0AB9" w:rsidRDefault="00BF0AB9" w:rsidP="00C91C57">
            <w:r>
              <w:t>5</w:t>
            </w:r>
          </w:p>
        </w:tc>
        <w:tc>
          <w:tcPr>
            <w:tcW w:w="1289" w:type="dxa"/>
          </w:tcPr>
          <w:p w14:paraId="75113139" w14:textId="77777777" w:rsidR="00BF0AB9" w:rsidRDefault="00BF0AB9" w:rsidP="00C91C57"/>
        </w:tc>
        <w:tc>
          <w:tcPr>
            <w:tcW w:w="1268" w:type="dxa"/>
          </w:tcPr>
          <w:p w14:paraId="2F9A48A0" w14:textId="77777777" w:rsidR="00BF0AB9" w:rsidRDefault="00BF0AB9" w:rsidP="00C91C57"/>
        </w:tc>
        <w:tc>
          <w:tcPr>
            <w:tcW w:w="1254" w:type="dxa"/>
          </w:tcPr>
          <w:p w14:paraId="4CE0F1C6" w14:textId="77777777" w:rsidR="00BF0AB9" w:rsidRDefault="00BF0AB9" w:rsidP="00C91C57"/>
        </w:tc>
        <w:tc>
          <w:tcPr>
            <w:tcW w:w="1276" w:type="dxa"/>
          </w:tcPr>
          <w:p w14:paraId="6CA815FD" w14:textId="77777777" w:rsidR="00BF0AB9" w:rsidRDefault="00BF0AB9" w:rsidP="00C91C57"/>
        </w:tc>
        <w:tc>
          <w:tcPr>
            <w:tcW w:w="1276" w:type="dxa"/>
          </w:tcPr>
          <w:p w14:paraId="07607BAE" w14:textId="77777777" w:rsidR="00BF0AB9" w:rsidRDefault="00BF0AB9" w:rsidP="00C91C57"/>
        </w:tc>
      </w:tr>
      <w:tr w:rsidR="00BF0AB9" w14:paraId="625177D5" w14:textId="77777777" w:rsidTr="00C91C57">
        <w:tc>
          <w:tcPr>
            <w:tcW w:w="1443" w:type="dxa"/>
          </w:tcPr>
          <w:p w14:paraId="33837B4A" w14:textId="77777777" w:rsidR="00BF0AB9" w:rsidRDefault="00BF0AB9" w:rsidP="00C91C57">
            <w:r>
              <w:t>6</w:t>
            </w:r>
          </w:p>
        </w:tc>
        <w:tc>
          <w:tcPr>
            <w:tcW w:w="1289" w:type="dxa"/>
          </w:tcPr>
          <w:p w14:paraId="561D8E90" w14:textId="77777777" w:rsidR="00BF0AB9" w:rsidRDefault="00BF0AB9" w:rsidP="00C91C57"/>
        </w:tc>
        <w:tc>
          <w:tcPr>
            <w:tcW w:w="1268" w:type="dxa"/>
          </w:tcPr>
          <w:p w14:paraId="46F30B7F" w14:textId="77777777" w:rsidR="00BF0AB9" w:rsidRDefault="00BF0AB9" w:rsidP="00C91C57"/>
        </w:tc>
        <w:tc>
          <w:tcPr>
            <w:tcW w:w="1254" w:type="dxa"/>
          </w:tcPr>
          <w:p w14:paraId="750CD12A" w14:textId="77777777" w:rsidR="00BF0AB9" w:rsidRDefault="00BF0AB9" w:rsidP="00C91C57"/>
        </w:tc>
        <w:tc>
          <w:tcPr>
            <w:tcW w:w="1276" w:type="dxa"/>
          </w:tcPr>
          <w:p w14:paraId="07C123C9" w14:textId="77777777" w:rsidR="00BF0AB9" w:rsidRDefault="00BF0AB9" w:rsidP="00C91C57"/>
        </w:tc>
        <w:tc>
          <w:tcPr>
            <w:tcW w:w="1276" w:type="dxa"/>
          </w:tcPr>
          <w:p w14:paraId="17867C50" w14:textId="77777777" w:rsidR="00BF0AB9" w:rsidRDefault="00BF0AB9" w:rsidP="00C91C57"/>
        </w:tc>
      </w:tr>
      <w:tr w:rsidR="00BF0AB9" w14:paraId="30700BD9" w14:textId="77777777" w:rsidTr="00C91C57">
        <w:tc>
          <w:tcPr>
            <w:tcW w:w="1443" w:type="dxa"/>
          </w:tcPr>
          <w:p w14:paraId="6A6EFF64" w14:textId="77777777" w:rsidR="00BF0AB9" w:rsidRDefault="00BF0AB9" w:rsidP="00C91C57">
            <w:r>
              <w:t>7</w:t>
            </w:r>
          </w:p>
        </w:tc>
        <w:tc>
          <w:tcPr>
            <w:tcW w:w="1289" w:type="dxa"/>
          </w:tcPr>
          <w:p w14:paraId="3F489770" w14:textId="77777777" w:rsidR="00BF0AB9" w:rsidRDefault="00BF0AB9" w:rsidP="00C91C57"/>
        </w:tc>
        <w:tc>
          <w:tcPr>
            <w:tcW w:w="1268" w:type="dxa"/>
          </w:tcPr>
          <w:p w14:paraId="5EE6840B" w14:textId="77777777" w:rsidR="00BF0AB9" w:rsidRDefault="00BF0AB9" w:rsidP="00C91C57"/>
        </w:tc>
        <w:tc>
          <w:tcPr>
            <w:tcW w:w="1254" w:type="dxa"/>
          </w:tcPr>
          <w:p w14:paraId="4C648A77" w14:textId="77777777" w:rsidR="00BF0AB9" w:rsidRDefault="00BF0AB9" w:rsidP="00C91C57"/>
        </w:tc>
        <w:tc>
          <w:tcPr>
            <w:tcW w:w="1276" w:type="dxa"/>
          </w:tcPr>
          <w:p w14:paraId="4820C35C" w14:textId="77777777" w:rsidR="00BF0AB9" w:rsidRDefault="00BF0AB9" w:rsidP="00C91C57"/>
        </w:tc>
        <w:tc>
          <w:tcPr>
            <w:tcW w:w="1276" w:type="dxa"/>
          </w:tcPr>
          <w:p w14:paraId="2BF368E1" w14:textId="77777777" w:rsidR="00BF0AB9" w:rsidRDefault="00BF0AB9" w:rsidP="00C91C57"/>
        </w:tc>
      </w:tr>
      <w:tr w:rsidR="00BF0AB9" w14:paraId="76D03FC3" w14:textId="77777777" w:rsidTr="00C91C57">
        <w:tc>
          <w:tcPr>
            <w:tcW w:w="1443" w:type="dxa"/>
          </w:tcPr>
          <w:p w14:paraId="558347DE" w14:textId="77777777" w:rsidR="00BF0AB9" w:rsidRDefault="00BF0AB9" w:rsidP="00C91C57">
            <w:r>
              <w:t>8</w:t>
            </w:r>
          </w:p>
        </w:tc>
        <w:tc>
          <w:tcPr>
            <w:tcW w:w="1289" w:type="dxa"/>
          </w:tcPr>
          <w:p w14:paraId="2868E6CB" w14:textId="77777777" w:rsidR="00BF0AB9" w:rsidRDefault="00BF0AB9" w:rsidP="00C91C57"/>
        </w:tc>
        <w:tc>
          <w:tcPr>
            <w:tcW w:w="1268" w:type="dxa"/>
          </w:tcPr>
          <w:p w14:paraId="5B6AB6BD" w14:textId="77777777" w:rsidR="00BF0AB9" w:rsidRDefault="00BF0AB9" w:rsidP="00C91C57"/>
        </w:tc>
        <w:tc>
          <w:tcPr>
            <w:tcW w:w="1254" w:type="dxa"/>
          </w:tcPr>
          <w:p w14:paraId="27F144F5" w14:textId="77777777" w:rsidR="00BF0AB9" w:rsidRDefault="00BF0AB9" w:rsidP="00C91C57"/>
        </w:tc>
        <w:tc>
          <w:tcPr>
            <w:tcW w:w="1276" w:type="dxa"/>
          </w:tcPr>
          <w:p w14:paraId="6DEF2BBD" w14:textId="77777777" w:rsidR="00BF0AB9" w:rsidRDefault="00BF0AB9" w:rsidP="00C91C57"/>
        </w:tc>
        <w:tc>
          <w:tcPr>
            <w:tcW w:w="1276" w:type="dxa"/>
          </w:tcPr>
          <w:p w14:paraId="0B6DEF78" w14:textId="77777777" w:rsidR="00BF0AB9" w:rsidRDefault="00BF0AB9" w:rsidP="00C91C57"/>
        </w:tc>
      </w:tr>
      <w:tr w:rsidR="00BF0AB9" w14:paraId="380DB1EB" w14:textId="77777777" w:rsidTr="00C91C57">
        <w:tc>
          <w:tcPr>
            <w:tcW w:w="1443" w:type="dxa"/>
          </w:tcPr>
          <w:p w14:paraId="2E2B0052" w14:textId="77777777" w:rsidR="00BF0AB9" w:rsidRDefault="00BF0AB9" w:rsidP="00C91C57">
            <w:r>
              <w:t>9</w:t>
            </w:r>
          </w:p>
        </w:tc>
        <w:tc>
          <w:tcPr>
            <w:tcW w:w="1289" w:type="dxa"/>
          </w:tcPr>
          <w:p w14:paraId="42B81398" w14:textId="77777777" w:rsidR="00BF0AB9" w:rsidRDefault="00BF0AB9" w:rsidP="00C91C57"/>
        </w:tc>
        <w:tc>
          <w:tcPr>
            <w:tcW w:w="1268" w:type="dxa"/>
          </w:tcPr>
          <w:p w14:paraId="2AD484D6" w14:textId="77777777" w:rsidR="00BF0AB9" w:rsidRDefault="00BF0AB9" w:rsidP="00C91C57"/>
        </w:tc>
        <w:tc>
          <w:tcPr>
            <w:tcW w:w="1254" w:type="dxa"/>
          </w:tcPr>
          <w:p w14:paraId="35F8DEAF" w14:textId="77777777" w:rsidR="00BF0AB9" w:rsidRDefault="00BF0AB9" w:rsidP="00C91C57"/>
        </w:tc>
        <w:tc>
          <w:tcPr>
            <w:tcW w:w="1276" w:type="dxa"/>
          </w:tcPr>
          <w:p w14:paraId="2783AA5B" w14:textId="77777777" w:rsidR="00BF0AB9" w:rsidRDefault="00BF0AB9" w:rsidP="00C91C57"/>
        </w:tc>
        <w:tc>
          <w:tcPr>
            <w:tcW w:w="1276" w:type="dxa"/>
          </w:tcPr>
          <w:p w14:paraId="012B232E" w14:textId="77777777" w:rsidR="00BF0AB9" w:rsidRDefault="00BF0AB9" w:rsidP="00C91C57"/>
        </w:tc>
      </w:tr>
      <w:tr w:rsidR="00BF0AB9" w14:paraId="589EE988" w14:textId="77777777" w:rsidTr="00C91C57">
        <w:tc>
          <w:tcPr>
            <w:tcW w:w="1443" w:type="dxa"/>
          </w:tcPr>
          <w:p w14:paraId="006F46B0" w14:textId="77777777" w:rsidR="00BF0AB9" w:rsidRDefault="00BF0AB9" w:rsidP="00C91C57">
            <w:r>
              <w:t>10</w:t>
            </w:r>
          </w:p>
        </w:tc>
        <w:tc>
          <w:tcPr>
            <w:tcW w:w="1289" w:type="dxa"/>
          </w:tcPr>
          <w:p w14:paraId="47F777E6" w14:textId="77777777" w:rsidR="00BF0AB9" w:rsidRDefault="00BF0AB9" w:rsidP="00C91C57"/>
        </w:tc>
        <w:tc>
          <w:tcPr>
            <w:tcW w:w="1268" w:type="dxa"/>
          </w:tcPr>
          <w:p w14:paraId="7BBF819A" w14:textId="77777777" w:rsidR="00BF0AB9" w:rsidRDefault="00BF0AB9" w:rsidP="00C91C57"/>
        </w:tc>
        <w:tc>
          <w:tcPr>
            <w:tcW w:w="1254" w:type="dxa"/>
          </w:tcPr>
          <w:p w14:paraId="7CDBEE72" w14:textId="77777777" w:rsidR="00BF0AB9" w:rsidRDefault="00BF0AB9" w:rsidP="00C91C57"/>
        </w:tc>
        <w:tc>
          <w:tcPr>
            <w:tcW w:w="1276" w:type="dxa"/>
          </w:tcPr>
          <w:p w14:paraId="1C579536" w14:textId="77777777" w:rsidR="00BF0AB9" w:rsidRDefault="00BF0AB9" w:rsidP="00C91C57"/>
        </w:tc>
        <w:tc>
          <w:tcPr>
            <w:tcW w:w="1276" w:type="dxa"/>
          </w:tcPr>
          <w:p w14:paraId="6703ED97" w14:textId="77777777" w:rsidR="00BF0AB9" w:rsidRDefault="00BF0AB9" w:rsidP="00C91C57"/>
        </w:tc>
      </w:tr>
    </w:tbl>
    <w:p w14:paraId="6371DC1F" w14:textId="77777777" w:rsidR="00E72FC0" w:rsidRDefault="00E72FC0" w:rsidP="00E72FC0"/>
    <w:p w14:paraId="221689AC" w14:textId="70EE3BB5" w:rsidR="00E72FC0" w:rsidRDefault="00E72FC0" w:rsidP="00E72FC0">
      <w:pPr>
        <w:rPr>
          <w:rFonts w:cstheme="minorHAnsi"/>
        </w:rPr>
      </w:pPr>
      <w:r>
        <w:t xml:space="preserve">w = loonbod werkgever </w:t>
      </w:r>
      <w:r>
        <w:sym w:font="Wingdings" w:char="F0E0"/>
      </w:r>
      <w:r>
        <w:t xml:space="preserve"> 125 </w:t>
      </w:r>
      <w:r>
        <w:rPr>
          <w:rFonts w:cstheme="minorHAnsi"/>
        </w:rPr>
        <w:t>≥</w:t>
      </w:r>
      <w:r>
        <w:t xml:space="preserve"> w </w:t>
      </w:r>
      <w:r>
        <w:rPr>
          <w:rFonts w:cstheme="minorHAnsi"/>
        </w:rPr>
        <w:t>&gt; 25 (w moet een veelvoud zijn van 5, dus: 30, …, 125)</w:t>
      </w:r>
    </w:p>
    <w:p w14:paraId="55AC615A" w14:textId="3E95CFC2" w:rsidR="00E72FC0" w:rsidRDefault="00E72FC0" w:rsidP="00E72FC0">
      <w:r>
        <w:t>e = inspanning werknemer:</w:t>
      </w:r>
    </w:p>
    <w:tbl>
      <w:tblPr>
        <w:tblStyle w:val="Tabelraster"/>
        <w:tblW w:w="0" w:type="auto"/>
        <w:tblLook w:val="04A0" w:firstRow="1" w:lastRow="0" w:firstColumn="1" w:lastColumn="0" w:noHBand="0" w:noVBand="1"/>
      </w:tblPr>
      <w:tblGrid>
        <w:gridCol w:w="1980"/>
        <w:gridCol w:w="1701"/>
      </w:tblGrid>
      <w:tr w:rsidR="00E72FC0" w14:paraId="6A507379" w14:textId="77777777" w:rsidTr="00C91C57">
        <w:tc>
          <w:tcPr>
            <w:tcW w:w="1980" w:type="dxa"/>
          </w:tcPr>
          <w:p w14:paraId="511F99AE" w14:textId="7FAC56BB" w:rsidR="00E72FC0" w:rsidRDefault="00E72FC0" w:rsidP="00C91C57">
            <w:bookmarkStart w:id="0" w:name="_Hlk130369164"/>
            <w:r>
              <w:t>e</w:t>
            </w:r>
          </w:p>
        </w:tc>
        <w:tc>
          <w:tcPr>
            <w:tcW w:w="1701" w:type="dxa"/>
          </w:tcPr>
          <w:p w14:paraId="445775D6" w14:textId="25AAFF7C" w:rsidR="00E72FC0" w:rsidRDefault="00E72FC0" w:rsidP="00C91C57">
            <w:r>
              <w:t>k(</w:t>
            </w:r>
            <w:r>
              <w:rPr>
                <w:rFonts w:cstheme="minorHAnsi"/>
              </w:rPr>
              <w:t>e</w:t>
            </w:r>
            <w:r>
              <w:t>)</w:t>
            </w:r>
          </w:p>
        </w:tc>
      </w:tr>
      <w:tr w:rsidR="00E72FC0" w14:paraId="68CF952A" w14:textId="77777777" w:rsidTr="00C91C57">
        <w:tc>
          <w:tcPr>
            <w:tcW w:w="1980" w:type="dxa"/>
          </w:tcPr>
          <w:p w14:paraId="2B6AD5E8" w14:textId="77777777" w:rsidR="00E72FC0" w:rsidRDefault="00E72FC0" w:rsidP="00C91C57">
            <w:r>
              <w:t>0,1</w:t>
            </w:r>
          </w:p>
        </w:tc>
        <w:tc>
          <w:tcPr>
            <w:tcW w:w="1701" w:type="dxa"/>
          </w:tcPr>
          <w:p w14:paraId="3C9CDCCE" w14:textId="77777777" w:rsidR="00E72FC0" w:rsidRDefault="00E72FC0" w:rsidP="00C91C57">
            <w:r>
              <w:t>0</w:t>
            </w:r>
          </w:p>
        </w:tc>
      </w:tr>
      <w:tr w:rsidR="00E72FC0" w14:paraId="46C4C128" w14:textId="77777777" w:rsidTr="00C91C57">
        <w:tc>
          <w:tcPr>
            <w:tcW w:w="1980" w:type="dxa"/>
          </w:tcPr>
          <w:p w14:paraId="7E9A4D49" w14:textId="77777777" w:rsidR="00E72FC0" w:rsidRDefault="00E72FC0" w:rsidP="00C91C57">
            <w:r>
              <w:t>0,2</w:t>
            </w:r>
          </w:p>
        </w:tc>
        <w:tc>
          <w:tcPr>
            <w:tcW w:w="1701" w:type="dxa"/>
          </w:tcPr>
          <w:p w14:paraId="0093F258" w14:textId="77777777" w:rsidR="00E72FC0" w:rsidRDefault="00E72FC0" w:rsidP="00C91C57">
            <w:r>
              <w:t>1</w:t>
            </w:r>
          </w:p>
        </w:tc>
      </w:tr>
      <w:tr w:rsidR="00E72FC0" w14:paraId="0A50B9CA" w14:textId="77777777" w:rsidTr="00C91C57">
        <w:tc>
          <w:tcPr>
            <w:tcW w:w="1980" w:type="dxa"/>
          </w:tcPr>
          <w:p w14:paraId="0532F54D" w14:textId="77777777" w:rsidR="00E72FC0" w:rsidRDefault="00E72FC0" w:rsidP="00C91C57">
            <w:r>
              <w:t>0,3</w:t>
            </w:r>
          </w:p>
        </w:tc>
        <w:tc>
          <w:tcPr>
            <w:tcW w:w="1701" w:type="dxa"/>
          </w:tcPr>
          <w:p w14:paraId="0EF93AC8" w14:textId="77777777" w:rsidR="00E72FC0" w:rsidRDefault="00E72FC0" w:rsidP="00C91C57">
            <w:r>
              <w:t>2</w:t>
            </w:r>
          </w:p>
        </w:tc>
      </w:tr>
      <w:tr w:rsidR="00E72FC0" w14:paraId="2D075681" w14:textId="77777777" w:rsidTr="00C91C57">
        <w:tc>
          <w:tcPr>
            <w:tcW w:w="1980" w:type="dxa"/>
          </w:tcPr>
          <w:p w14:paraId="55F43786" w14:textId="77777777" w:rsidR="00E72FC0" w:rsidRDefault="00E72FC0" w:rsidP="00C91C57">
            <w:r>
              <w:t>0,4</w:t>
            </w:r>
          </w:p>
        </w:tc>
        <w:tc>
          <w:tcPr>
            <w:tcW w:w="1701" w:type="dxa"/>
          </w:tcPr>
          <w:p w14:paraId="1502F1EA" w14:textId="77777777" w:rsidR="00E72FC0" w:rsidRDefault="00E72FC0" w:rsidP="00C91C57">
            <w:r>
              <w:t>4</w:t>
            </w:r>
          </w:p>
        </w:tc>
      </w:tr>
      <w:tr w:rsidR="00E72FC0" w14:paraId="4527B09B" w14:textId="77777777" w:rsidTr="00C91C57">
        <w:tc>
          <w:tcPr>
            <w:tcW w:w="1980" w:type="dxa"/>
          </w:tcPr>
          <w:p w14:paraId="0D8E6B0F" w14:textId="77777777" w:rsidR="00E72FC0" w:rsidRDefault="00E72FC0" w:rsidP="00C91C57">
            <w:r>
              <w:t>0,5</w:t>
            </w:r>
          </w:p>
        </w:tc>
        <w:tc>
          <w:tcPr>
            <w:tcW w:w="1701" w:type="dxa"/>
          </w:tcPr>
          <w:p w14:paraId="2BADC9E9" w14:textId="77777777" w:rsidR="00E72FC0" w:rsidRDefault="00E72FC0" w:rsidP="00C91C57">
            <w:r>
              <w:t>6</w:t>
            </w:r>
          </w:p>
        </w:tc>
      </w:tr>
      <w:tr w:rsidR="00E72FC0" w14:paraId="5F9907B4" w14:textId="77777777" w:rsidTr="00C91C57">
        <w:tc>
          <w:tcPr>
            <w:tcW w:w="1980" w:type="dxa"/>
          </w:tcPr>
          <w:p w14:paraId="1EAF16A8" w14:textId="77777777" w:rsidR="00E72FC0" w:rsidRDefault="00E72FC0" w:rsidP="00C91C57">
            <w:r>
              <w:t>0,6</w:t>
            </w:r>
          </w:p>
        </w:tc>
        <w:tc>
          <w:tcPr>
            <w:tcW w:w="1701" w:type="dxa"/>
          </w:tcPr>
          <w:p w14:paraId="3E04F789" w14:textId="77777777" w:rsidR="00E72FC0" w:rsidRDefault="00E72FC0" w:rsidP="00C91C57">
            <w:r>
              <w:t>8</w:t>
            </w:r>
          </w:p>
        </w:tc>
      </w:tr>
      <w:tr w:rsidR="00E72FC0" w14:paraId="1EED4214" w14:textId="77777777" w:rsidTr="00C91C57">
        <w:tc>
          <w:tcPr>
            <w:tcW w:w="1980" w:type="dxa"/>
          </w:tcPr>
          <w:p w14:paraId="0CC9626E" w14:textId="77777777" w:rsidR="00E72FC0" w:rsidRDefault="00E72FC0" w:rsidP="00C91C57">
            <w:r>
              <w:t>0,7</w:t>
            </w:r>
          </w:p>
        </w:tc>
        <w:tc>
          <w:tcPr>
            <w:tcW w:w="1701" w:type="dxa"/>
          </w:tcPr>
          <w:p w14:paraId="24D1C7DD" w14:textId="77777777" w:rsidR="00E72FC0" w:rsidRDefault="00E72FC0" w:rsidP="00C91C57">
            <w:r>
              <w:t>10</w:t>
            </w:r>
          </w:p>
        </w:tc>
      </w:tr>
      <w:tr w:rsidR="00E72FC0" w14:paraId="72742862" w14:textId="77777777" w:rsidTr="00C91C57">
        <w:tc>
          <w:tcPr>
            <w:tcW w:w="1980" w:type="dxa"/>
          </w:tcPr>
          <w:p w14:paraId="0F0CB61C" w14:textId="77777777" w:rsidR="00E72FC0" w:rsidRDefault="00E72FC0" w:rsidP="00C91C57">
            <w:r>
              <w:t>0,8</w:t>
            </w:r>
          </w:p>
        </w:tc>
        <w:tc>
          <w:tcPr>
            <w:tcW w:w="1701" w:type="dxa"/>
          </w:tcPr>
          <w:p w14:paraId="75B31687" w14:textId="77777777" w:rsidR="00E72FC0" w:rsidRDefault="00E72FC0" w:rsidP="00C91C57">
            <w:r>
              <w:t>12</w:t>
            </w:r>
          </w:p>
        </w:tc>
      </w:tr>
      <w:tr w:rsidR="00E72FC0" w14:paraId="7895C7EF" w14:textId="77777777" w:rsidTr="00C91C57">
        <w:tc>
          <w:tcPr>
            <w:tcW w:w="1980" w:type="dxa"/>
          </w:tcPr>
          <w:p w14:paraId="6D3E34CE" w14:textId="77777777" w:rsidR="00E72FC0" w:rsidRDefault="00E72FC0" w:rsidP="00C91C57">
            <w:r>
              <w:t>0,9</w:t>
            </w:r>
          </w:p>
        </w:tc>
        <w:tc>
          <w:tcPr>
            <w:tcW w:w="1701" w:type="dxa"/>
          </w:tcPr>
          <w:p w14:paraId="067CB0C2" w14:textId="77777777" w:rsidR="00E72FC0" w:rsidRDefault="00E72FC0" w:rsidP="00C91C57">
            <w:r>
              <w:t>15</w:t>
            </w:r>
          </w:p>
        </w:tc>
      </w:tr>
      <w:tr w:rsidR="00E72FC0" w14:paraId="26ED59C6" w14:textId="77777777" w:rsidTr="00C91C57">
        <w:tc>
          <w:tcPr>
            <w:tcW w:w="1980" w:type="dxa"/>
          </w:tcPr>
          <w:p w14:paraId="25240447" w14:textId="77777777" w:rsidR="00E72FC0" w:rsidRDefault="00E72FC0" w:rsidP="00C91C57">
            <w:r>
              <w:t>1</w:t>
            </w:r>
          </w:p>
        </w:tc>
        <w:tc>
          <w:tcPr>
            <w:tcW w:w="1701" w:type="dxa"/>
          </w:tcPr>
          <w:p w14:paraId="71C4D35C" w14:textId="77777777" w:rsidR="00E72FC0" w:rsidRDefault="00E72FC0" w:rsidP="00C91C57">
            <w:r>
              <w:t>18</w:t>
            </w:r>
          </w:p>
        </w:tc>
      </w:tr>
      <w:bookmarkEnd w:id="0"/>
    </w:tbl>
    <w:p w14:paraId="7A99C363" w14:textId="77777777" w:rsidR="00E72FC0" w:rsidRDefault="00E72FC0" w:rsidP="00E72FC0"/>
    <w:p w14:paraId="77E9B196" w14:textId="77777777" w:rsidR="00E72FC0" w:rsidRDefault="00E72FC0" w:rsidP="00E72FC0">
      <w:r w:rsidRPr="00D72F14">
        <w:rPr>
          <w:u w:val="single"/>
        </w:rPr>
        <w:t>Voorbeeld</w:t>
      </w:r>
      <w:r>
        <w:t xml:space="preserve">: </w:t>
      </w:r>
    </w:p>
    <w:p w14:paraId="5B4EB4D0" w14:textId="301A3E2B" w:rsidR="00E72FC0" w:rsidRDefault="00E72FC0" w:rsidP="00E72FC0">
      <w:r>
        <w:t xml:space="preserve">w = 80, werknemer accepteert met </w:t>
      </w:r>
      <w:r>
        <w:rPr>
          <w:rFonts w:cstheme="minorHAnsi"/>
        </w:rPr>
        <w:t>e</w:t>
      </w:r>
      <w:r>
        <w:t xml:space="preserve"> = 0,4</w:t>
      </w:r>
    </w:p>
    <w:p w14:paraId="757B69FF" w14:textId="04F347FE" w:rsidR="00E72FC0" w:rsidRPr="00E72FC0" w:rsidRDefault="00E72FC0" w:rsidP="00E72FC0">
      <w:pPr>
        <w:rPr>
          <w:lang w:val="en-US"/>
        </w:rPr>
      </w:pPr>
      <w:r w:rsidRPr="00E72FC0">
        <w:rPr>
          <w:rFonts w:cstheme="minorHAnsi"/>
          <w:lang w:val="en-US"/>
        </w:rPr>
        <w:t xml:space="preserve">Surplus </w:t>
      </w:r>
      <w:proofErr w:type="spellStart"/>
      <w:r w:rsidRPr="00E72FC0">
        <w:rPr>
          <w:rFonts w:cstheme="minorHAnsi"/>
          <w:lang w:val="en-US"/>
        </w:rPr>
        <w:t>werkgever</w:t>
      </w:r>
      <w:proofErr w:type="spellEnd"/>
      <w:r w:rsidRPr="00E72FC0">
        <w:rPr>
          <w:rFonts w:cstheme="minorHAnsi"/>
          <w:lang w:val="en-US"/>
        </w:rPr>
        <w:t xml:space="preserve"> (</w:t>
      </w:r>
      <w:proofErr w:type="spellStart"/>
      <w:r w:rsidRPr="00E72FC0">
        <w:rPr>
          <w:rFonts w:cstheme="minorHAnsi"/>
          <w:lang w:val="en-US"/>
        </w:rPr>
        <w:t>principaal</w:t>
      </w:r>
      <w:proofErr w:type="spellEnd"/>
      <w:r w:rsidRPr="00E72FC0">
        <w:rPr>
          <w:rFonts w:cstheme="minorHAnsi"/>
          <w:lang w:val="en-US"/>
        </w:rPr>
        <w:t>)</w:t>
      </w:r>
      <w:r w:rsidRPr="00E72FC0">
        <w:rPr>
          <w:lang w:val="en-US"/>
        </w:rPr>
        <w:t xml:space="preserve"> = p =  (126 – 80) x 0,4 = 18,4</w:t>
      </w:r>
    </w:p>
    <w:p w14:paraId="1815DD25" w14:textId="7AD9B06D" w:rsidR="00D32C8C" w:rsidRPr="00E72FC0" w:rsidRDefault="00E72FC0" w:rsidP="00E72FC0">
      <w:pPr>
        <w:rPr>
          <w:lang w:val="en-US"/>
        </w:rPr>
      </w:pPr>
      <w:r w:rsidRPr="00E72FC0">
        <w:rPr>
          <w:rFonts w:cstheme="minorHAnsi"/>
          <w:lang w:val="en-US"/>
        </w:rPr>
        <w:t xml:space="preserve">Surplus </w:t>
      </w:r>
      <w:proofErr w:type="spellStart"/>
      <w:r w:rsidRPr="00E72FC0">
        <w:rPr>
          <w:rFonts w:cstheme="minorHAnsi"/>
          <w:lang w:val="en-US"/>
        </w:rPr>
        <w:t>werknemer</w:t>
      </w:r>
      <w:proofErr w:type="spellEnd"/>
      <w:r w:rsidRPr="00E72FC0">
        <w:rPr>
          <w:rFonts w:cstheme="minorHAnsi"/>
          <w:lang w:val="en-US"/>
        </w:rPr>
        <w:t xml:space="preserve"> (agent) = a </w:t>
      </w:r>
      <w:r w:rsidRPr="00E72FC0">
        <w:rPr>
          <w:lang w:val="en-US"/>
        </w:rPr>
        <w:t xml:space="preserve">= 80 – 26 – 4 = 50 </w:t>
      </w:r>
      <w:r w:rsidR="00D32C8C" w:rsidRPr="00E72FC0">
        <w:rPr>
          <w:lang w:val="en-US"/>
        </w:rPr>
        <w:t xml:space="preserve"> </w:t>
      </w:r>
    </w:p>
    <w:sectPr w:rsidR="00D32C8C" w:rsidRPr="00E72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D4B"/>
    <w:multiLevelType w:val="hybridMultilevel"/>
    <w:tmpl w:val="900824B8"/>
    <w:lvl w:ilvl="0" w:tplc="3BD0E862">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035F11"/>
    <w:multiLevelType w:val="hybridMultilevel"/>
    <w:tmpl w:val="27926DA6"/>
    <w:lvl w:ilvl="0" w:tplc="3042BE7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2802338">
    <w:abstractNumId w:val="1"/>
  </w:num>
  <w:num w:numId="2" w16cid:durableId="100008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8C"/>
    <w:rsid w:val="001A1C04"/>
    <w:rsid w:val="001E628F"/>
    <w:rsid w:val="006B4055"/>
    <w:rsid w:val="0080478E"/>
    <w:rsid w:val="00AB1BC8"/>
    <w:rsid w:val="00BF0AB9"/>
    <w:rsid w:val="00BF47D6"/>
    <w:rsid w:val="00D25D83"/>
    <w:rsid w:val="00D32C8C"/>
    <w:rsid w:val="00D35E36"/>
    <w:rsid w:val="00E72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3273"/>
  <w15:chartTrackingRefBased/>
  <w15:docId w15:val="{94FE24F9-169E-4CC3-B7FE-1A36388B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2C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32C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2C8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32C8C"/>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E72FC0"/>
    <w:rPr>
      <w:color w:val="0563C1" w:themeColor="hyperlink"/>
      <w:u w:val="single"/>
    </w:rPr>
  </w:style>
  <w:style w:type="character" w:styleId="Onopgelostemelding">
    <w:name w:val="Unresolved Mention"/>
    <w:basedOn w:val="Standaardalinea-lettertype"/>
    <w:uiPriority w:val="99"/>
    <w:semiHidden/>
    <w:unhideWhenUsed/>
    <w:rsid w:val="00E72FC0"/>
    <w:rPr>
      <w:color w:val="605E5C"/>
      <w:shd w:val="clear" w:color="auto" w:fill="E1DFDD"/>
    </w:rPr>
  </w:style>
  <w:style w:type="paragraph" w:styleId="Lijstalinea">
    <w:name w:val="List Paragraph"/>
    <w:basedOn w:val="Standaard"/>
    <w:uiPriority w:val="34"/>
    <w:qFormat/>
    <w:rsid w:val="00E72FC0"/>
    <w:pPr>
      <w:ind w:left="720"/>
      <w:contextualSpacing/>
    </w:pPr>
    <w:rPr>
      <w:kern w:val="0"/>
      <w14:ligatures w14:val="none"/>
    </w:rPr>
  </w:style>
  <w:style w:type="table" w:styleId="Tabelraster">
    <w:name w:val="Table Grid"/>
    <w:basedOn w:val="Standaardtabel"/>
    <w:uiPriority w:val="39"/>
    <w:rsid w:val="00E72F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E72FC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con.nl/pagina/36375/klaslokaalexperimen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1218</Words>
  <Characters>6705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Nicolai</dc:creator>
  <cp:keywords/>
  <dc:description/>
  <cp:lastModifiedBy>M. Nicolai</cp:lastModifiedBy>
  <cp:revision>4</cp:revision>
  <dcterms:created xsi:type="dcterms:W3CDTF">2023-11-13T07:14:00Z</dcterms:created>
  <dcterms:modified xsi:type="dcterms:W3CDTF">2023-11-15T16:58:00Z</dcterms:modified>
</cp:coreProperties>
</file>